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e4bac009a9089064a8d96be0a24feb18d5651"/>
    <w:p>
      <w:pPr>
        <w:pStyle w:val="Heading3"/>
      </w:pPr>
      <w:r>
        <w:t xml:space="preserve">О ходе реализации в городе Москве мероприятий по установке шлагбаумов во дворах</w:t>
      </w:r>
    </w:p>
    <w:p>
      <w:pPr>
        <w:pStyle w:val="FirstParagraph"/>
      </w:pPr>
      <w:r>
        <w:t xml:space="preserve">31.05.2016</w:t>
      </w:r>
    </w:p>
    <w:p>
      <w:pPr>
        <w:pStyle w:val="BodyText"/>
      </w:pPr>
      <w:r>
        <w:t xml:space="preserve">В настоящее время вопрос установки шлагбаумов на дворовых территориях регламентирован постановлением Правительства Москвы от 02.07.2013</w:t>
      </w:r>
      <w:r>
        <w:t xml:space="preserve"> </w:t>
      </w:r>
      <w:r>
        <w:rPr>
          <w:bCs/>
          <w:b/>
        </w:rPr>
        <w:t xml:space="preserve">№ 428-ПП</w:t>
      </w:r>
      <w:r>
        <w:t xml:space="preserve"> </w:t>
      </w:r>
      <w:r>
        <w:t xml:space="preserve">«О Порядке установки ограждений на придомовых территориях в городе Москве», в свою очередь предоставление субсидий на их установку- постановлением Правительства Москвы от 30.09.2015</w:t>
      </w:r>
      <w:r>
        <w:t xml:space="preserve"> </w:t>
      </w:r>
      <w:r>
        <w:rPr>
          <w:bCs/>
          <w:b/>
        </w:rPr>
        <w:t xml:space="preserve">№ 632-ПП</w:t>
      </w:r>
      <w:r>
        <w:t xml:space="preserve"> </w:t>
      </w:r>
      <w:r>
        <w:t xml:space="preserve">«О проведении эксперимента по софинансированию Правительством Москвы установки ограждающих устройств на придомовых территориях, расположенных в территориальных зонах организации платных городских парковок или прилегающих к указанным зонам».</w:t>
      </w:r>
    </w:p>
    <w:p>
      <w:pPr>
        <w:pStyle w:val="BodyText"/>
      </w:pPr>
      <w:r>
        <w:t xml:space="preserve">Порядок установки шлагбаумов на дворовых территориях предусматривает принятие решений на общем собрании собственников в многоквартирном доме (группе многоквартирных домов), согласование с советом депутатов проекта размещения, а также предоставление субсидии из бюджета города на компенсацию затрат собственников на установку шлагбаумов.</w:t>
      </w:r>
    </w:p>
    <w:p>
      <w:pPr>
        <w:pStyle w:val="BodyText"/>
      </w:pPr>
      <w:r>
        <w:t xml:space="preserve">Для получения субсидии должны быть соблюдены несколько условий:</w:t>
      </w:r>
    </w:p>
    <w:p>
      <w:pPr>
        <w:pStyle w:val="BodyText"/>
      </w:pPr>
      <w:r>
        <w:t xml:space="preserve">- Шлагбаум должен быть установлен после</w:t>
      </w:r>
      <w:r>
        <w:t xml:space="preserve"> </w:t>
      </w:r>
      <w:r>
        <w:rPr>
          <w:bCs/>
          <w:b/>
        </w:rPr>
        <w:t xml:space="preserve">30.09.2015</w:t>
      </w:r>
      <w:r>
        <w:t xml:space="preserve">.</w:t>
      </w:r>
    </w:p>
    <w:p>
      <w:pPr>
        <w:pStyle w:val="BodyText"/>
      </w:pPr>
      <w:r>
        <w:t xml:space="preserve">- Оформление субсидии возможно только в тех районах, где уже действуют или планируются к вводу платные парковки. Если в районе имеется хотя бы одна зона платной парковки, то на предоставление субсидии имеют право жители всех дворов, находящихся в этом районе.</w:t>
      </w:r>
    </w:p>
    <w:p>
      <w:pPr>
        <w:pStyle w:val="BodyText"/>
      </w:pPr>
      <w:r>
        <w:t xml:space="preserve">- Субсидия будет предоставляться только в отношении шлагбаумов, согласованных Советом депутатов муниципального округа.</w:t>
      </w:r>
    </w:p>
    <w:p>
      <w:pPr>
        <w:pStyle w:val="BodyText"/>
      </w:pPr>
      <w:r>
        <w:t xml:space="preserve">Субсидия в размере 50 000 рублей выделяется на установку одного ограждающего устройства.</w:t>
      </w:r>
    </w:p>
    <w:p>
      <w:pPr>
        <w:pStyle w:val="BodyText"/>
      </w:pPr>
      <w:r>
        <w:t xml:space="preserve">Если во дворе требуется установка нескольких шлагбаумов - субсидия будет предоставляться на установку каждого. т.е. если для закрытия въезда во двор требуется 2 шлагбаума, размер субсидии составит 100 тысяч рублей и т.д.</w:t>
      </w:r>
    </w:p>
    <w:p>
      <w:pPr>
        <w:pStyle w:val="BodyText"/>
      </w:pPr>
      <w:r>
        <w:t xml:space="preserve">При этом софинансирование расходов по возведению иных конструкций - будок, заборов и т.п. не предполагается.</w:t>
      </w:r>
    </w:p>
    <w:p>
      <w:pPr>
        <w:pStyle w:val="BodyText"/>
      </w:pPr>
      <w:r>
        <w:t xml:space="preserve">Для получения субсидии жители многоквартирного дома должны принять соответствующее решение на общем собрании. Оно может быть принято одновременно с решением об установке самого шлагбаума.</w:t>
      </w:r>
    </w:p>
    <w:p>
      <w:pPr>
        <w:pStyle w:val="BodyText"/>
      </w:pPr>
      <w:r>
        <w:t xml:space="preserve">После собрания собственников многоквартирного дома, уполномоченное лицо – в большинстве случаев - это Управляющая организация (или физическое лицо в случае управления домом собственниками помещений) направляет документы для оформления субсидии в дирекцию ЖКХиБ административного округа.</w:t>
      </w:r>
    </w:p>
    <w:p>
      <w:pPr>
        <w:pStyle w:val="BodyText"/>
      </w:pPr>
      <w:r>
        <w:t xml:space="preserve">Далее Дирекция в течение 3-х рабочих дней принимает решение о предоставлении субсидии. Затем подписывает договор с Управляющей организацией и перечисляет средства на её расчётный счет не позднее 10 рабочих дней после подписания договора.</w:t>
      </w:r>
    </w:p>
    <w:p>
      <w:pPr>
        <w:pStyle w:val="BodyText"/>
      </w:pPr>
      <w:r>
        <w:t xml:space="preserve">Главным распорядителем бюджетных средств по субсидии является префектура административного округа.</w:t>
      </w:r>
    </w:p>
    <w:p>
      <w:pPr>
        <w:pStyle w:val="BodyText"/>
      </w:pPr>
      <w:r>
        <w:t xml:space="preserve">Управляющая компания, получившая субсидию, обязана перечислить каждому жителю, участвовавшему в долевых расходах на установку шлагбаума, денежные средства пропорционально его доли расходов.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Распоряжением ДЖКХиБ от 03.11.2015 №05-01-06-275/5 «О мерах по реализации постановления Правительства Москвы от 30.09.2015 №632-ПП» утверждены примерные формы заявления и договор на предоставление субсидии на установку ограждающих устройств.</w:t>
            </w:r>
          </w:p>
        </w:tc>
      </w:tr>
    </w:tbl>
    <w:p>
      <w:pPr>
        <w:pStyle w:val="BodyText"/>
      </w:pPr>
      <w:r>
        <w:t xml:space="preserve">Организован контроль за использованием субсидий. В случае выявления факта не установки ограждающего устройства ГКУ дирекция ЖКХиБ административного округа принимает решение о возврате в бюджет города Москвы предоставленной субсидии, о чём уведомляет уполномоченное лицо в срок не позднее пяти рабочих дней со дня принятия такого решения.</w:t>
      </w:r>
    </w:p>
    <w:p>
      <w:pPr>
        <w:pStyle w:val="BodyText"/>
      </w:pPr>
      <w:r>
        <w:t xml:space="preserve">Всего дворов –</w:t>
      </w:r>
      <w:r>
        <w:t xml:space="preserve"> </w:t>
      </w:r>
      <w:r>
        <w:rPr>
          <w:bCs/>
          <w:b/>
        </w:rPr>
        <w:t xml:space="preserve">23961 (кроме ТиНАО).</w:t>
      </w:r>
    </w:p>
    <w:p>
      <w:pPr>
        <w:pStyle w:val="BodyText"/>
      </w:pPr>
      <w:r>
        <w:t xml:space="preserve">До выхода постановления Правительства от 30.09.2015</w:t>
      </w:r>
      <w:r>
        <w:t xml:space="preserve"> </w:t>
      </w:r>
      <w:r>
        <w:rPr>
          <w:bCs/>
          <w:b/>
        </w:rPr>
        <w:t xml:space="preserve">№632-ПП</w:t>
      </w:r>
      <w:r>
        <w:t xml:space="preserve"> </w:t>
      </w:r>
      <w:r>
        <w:t xml:space="preserve">(с 02.06.2013) установлено</w:t>
      </w:r>
      <w:r>
        <w:t xml:space="preserve"> </w:t>
      </w:r>
      <w:r>
        <w:rPr>
          <w:bCs/>
          <w:b/>
        </w:rPr>
        <w:t xml:space="preserve">2167</w:t>
      </w:r>
      <w:r>
        <w:t xml:space="preserve"> </w:t>
      </w:r>
      <w:r>
        <w:t xml:space="preserve">шлагбаумов в</w:t>
      </w:r>
      <w:r>
        <w:t xml:space="preserve"> </w:t>
      </w:r>
      <w:r>
        <w:rPr>
          <w:bCs/>
          <w:b/>
        </w:rPr>
        <w:t xml:space="preserve">1773</w:t>
      </w:r>
      <w:r>
        <w:t xml:space="preserve"> </w:t>
      </w:r>
      <w:r>
        <w:t xml:space="preserve">дворах.</w:t>
      </w:r>
    </w:p>
    <w:p>
      <w:pPr>
        <w:pStyle w:val="BodyText"/>
      </w:pPr>
      <w:r>
        <w:t xml:space="preserve">После выхода постановления Правительства от 30.09.2015</w:t>
      </w:r>
      <w:r>
        <w:t xml:space="preserve"> </w:t>
      </w:r>
      <w:r>
        <w:rPr>
          <w:bCs/>
          <w:b/>
        </w:rPr>
        <w:t xml:space="preserve">№632-ПП</w:t>
      </w:r>
      <w:r>
        <w:t xml:space="preserve"> </w:t>
      </w:r>
      <w:r>
        <w:t xml:space="preserve">(с 30.09.2015) установлено</w:t>
      </w:r>
      <w:r>
        <w:t xml:space="preserve"> </w:t>
      </w:r>
      <w:r>
        <w:rPr>
          <w:bCs/>
          <w:b/>
        </w:rPr>
        <w:t xml:space="preserve">397</w:t>
      </w:r>
      <w:r>
        <w:t xml:space="preserve"> </w:t>
      </w:r>
      <w:r>
        <w:t xml:space="preserve">шлагбаумов в</w:t>
      </w:r>
      <w:r>
        <w:t xml:space="preserve"> </w:t>
      </w:r>
      <w:r>
        <w:rPr>
          <w:bCs/>
          <w:b/>
        </w:rPr>
        <w:t xml:space="preserve">330</w:t>
      </w:r>
      <w:r>
        <w:t xml:space="preserve"> </w:t>
      </w:r>
      <w:r>
        <w:t xml:space="preserve">дворах, попавших в зону платной парковки (</w:t>
      </w:r>
      <w:r>
        <w:rPr>
          <w:bCs/>
          <w:b/>
        </w:rPr>
        <w:t xml:space="preserve">67</w:t>
      </w:r>
      <w:r>
        <w:t xml:space="preserve"> </w:t>
      </w:r>
      <w:r>
        <w:t xml:space="preserve">районов Москвы), а всего было установлено</w:t>
      </w:r>
      <w:r>
        <w:t xml:space="preserve"> </w:t>
      </w:r>
      <w:r>
        <w:rPr>
          <w:bCs/>
          <w:b/>
        </w:rPr>
        <w:t xml:space="preserve">428</w:t>
      </w:r>
      <w:r>
        <w:t xml:space="preserve"> </w:t>
      </w:r>
      <w:r>
        <w:t xml:space="preserve">шлагбаумов в</w:t>
      </w:r>
      <w:r>
        <w:t xml:space="preserve"> </w:t>
      </w:r>
      <w:r>
        <w:rPr>
          <w:bCs/>
          <w:b/>
        </w:rPr>
        <w:t xml:space="preserve">356</w:t>
      </w:r>
      <w:r>
        <w:t xml:space="preserve"> </w:t>
      </w:r>
      <w:r>
        <w:t xml:space="preserve">дворах.</w:t>
      </w:r>
    </w:p>
    <w:p>
      <w:pPr>
        <w:pStyle w:val="BodyText"/>
      </w:pPr>
      <w:r>
        <w:t xml:space="preserve">Всего обратились за получением субсидий – жители по</w:t>
      </w:r>
      <w:r>
        <w:t xml:space="preserve"> </w:t>
      </w:r>
      <w:r>
        <w:rPr>
          <w:bCs/>
          <w:b/>
        </w:rPr>
        <w:t xml:space="preserve">16</w:t>
      </w:r>
      <w:r>
        <w:t xml:space="preserve"> </w:t>
      </w:r>
      <w:r>
        <w:t xml:space="preserve">дворовым территориям по</w:t>
      </w:r>
      <w:r>
        <w:t xml:space="preserve"> </w:t>
      </w:r>
      <w:r>
        <w:rPr>
          <w:bCs/>
          <w:b/>
        </w:rPr>
        <w:t xml:space="preserve">Центральному административному округу.</w:t>
      </w:r>
    </w:p>
    <w:p>
      <w:pPr>
        <w:pStyle w:val="BodyText"/>
      </w:pPr>
      <w:r>
        <w:t xml:space="preserve">Количество шлагбаумов –</w:t>
      </w:r>
      <w:r>
        <w:t xml:space="preserve"> </w:t>
      </w:r>
      <w:r>
        <w:rPr>
          <w:bCs/>
          <w:b/>
        </w:rPr>
        <w:t xml:space="preserve">31.</w:t>
      </w:r>
    </w:p>
    <w:p>
      <w:pPr>
        <w:pStyle w:val="BodyText"/>
      </w:pPr>
      <w:r>
        <w:t xml:space="preserve">Заключено договоров – по всем</w:t>
      </w:r>
      <w:r>
        <w:t xml:space="preserve"> </w:t>
      </w:r>
      <w:r>
        <w:rPr>
          <w:bCs/>
          <w:b/>
        </w:rPr>
        <w:t xml:space="preserve">16</w:t>
      </w:r>
      <w:r>
        <w:t xml:space="preserve"> </w:t>
      </w:r>
      <w:r>
        <w:t xml:space="preserve">дворовым территориям.</w:t>
      </w:r>
    </w:p>
    <w:p>
      <w:pPr>
        <w:pStyle w:val="BodyText"/>
      </w:pPr>
      <w:r>
        <w:t xml:space="preserve">Общая расчетная сумма субсидий по</w:t>
      </w:r>
      <w:r>
        <w:t xml:space="preserve"> </w:t>
      </w:r>
      <w:r>
        <w:rPr>
          <w:bCs/>
          <w:b/>
        </w:rPr>
        <w:t xml:space="preserve">31</w:t>
      </w:r>
      <w:r>
        <w:t xml:space="preserve"> </w:t>
      </w:r>
      <w:r>
        <w:t xml:space="preserve">шлагбаумам составляет–</w:t>
      </w:r>
      <w:r>
        <w:t xml:space="preserve"> </w:t>
      </w:r>
      <w:r>
        <w:rPr>
          <w:bCs/>
          <w:b/>
        </w:rPr>
        <w:t xml:space="preserve">1,550 млн руб.</w:t>
      </w:r>
    </w:p>
    <w:p>
      <w:pPr>
        <w:pStyle w:val="BodyText"/>
      </w:pPr>
      <w:r>
        <w:t xml:space="preserve">При обращении жителей за получением субсидий по всем установленным</w:t>
      </w:r>
      <w:r>
        <w:t xml:space="preserve"> </w:t>
      </w:r>
      <w:r>
        <w:rPr>
          <w:bCs/>
          <w:b/>
        </w:rPr>
        <w:t xml:space="preserve">397</w:t>
      </w:r>
      <w:r>
        <w:t xml:space="preserve"> </w:t>
      </w:r>
      <w:r>
        <w:t xml:space="preserve">шлагбаумам в</w:t>
      </w:r>
      <w:r>
        <w:t xml:space="preserve"> </w:t>
      </w:r>
      <w:r>
        <w:rPr>
          <w:bCs/>
          <w:b/>
        </w:rPr>
        <w:t xml:space="preserve">330</w:t>
      </w:r>
      <w:r>
        <w:t xml:space="preserve"> </w:t>
      </w:r>
      <w:r>
        <w:t xml:space="preserve">дворах необходимо будет предоставить</w:t>
      </w:r>
      <w:r>
        <w:t xml:space="preserve"> </w:t>
      </w:r>
      <w:r>
        <w:rPr>
          <w:bCs/>
          <w:b/>
        </w:rPr>
        <w:t xml:space="preserve">19,850 млн.руб.</w:t>
      </w:r>
    </w:p>
    <w:p>
      <w:pPr>
        <w:pStyle w:val="BodyText"/>
      </w:pPr>
      <w:r>
        <w:t xml:space="preserve">В процессе реализации данного постановления Департаментом финансов города Москвы совместно с Департаментом ЖКХиБ города Москвы и Префектурой ЦАО отрабатывалась схема предоставления субсидий ГБУ «Жилищник» и иным управляющим организациям. Все проблемные вопросы урегулированы.</w:t>
      </w:r>
    </w:p>
    <w:p>
      <w:pPr>
        <w:pStyle w:val="BodyText"/>
      </w:pPr>
      <w:r>
        <w:t xml:space="preserve">На настоящий момент субсидии предоставлены по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дворовым территориям на сумму</w:t>
      </w:r>
      <w:r>
        <w:t xml:space="preserve"> </w:t>
      </w:r>
      <w:r>
        <w:rPr>
          <w:bCs/>
          <w:b/>
        </w:rPr>
        <w:t xml:space="preserve">200,0 тыс.руб.</w:t>
      </w:r>
    </w:p>
    <w:p>
      <w:pPr>
        <w:pStyle w:val="BodyText"/>
      </w:pPr>
      <w:r>
        <w:t xml:space="preserve">По мере представления управляющими организациями подтверждающих документов по установке шлагбаумов, субсидии будут незамедлительно предоставлены в полном объеме в соответствии с заявками.</w:t>
      </w:r>
    </w:p>
    <w:p>
      <w:pPr>
        <w:pStyle w:val="BodyText"/>
      </w:pPr>
      <w:r>
        <w:t xml:space="preserve">Причинами незначительного количества обращений за получением субсидий являются:</w:t>
      </w:r>
    </w:p>
    <w:p>
      <w:pPr>
        <w:pStyle w:val="BodyText"/>
      </w:pPr>
      <w:r>
        <w:t xml:space="preserve">осенне-зимний период, прошедший с даты принятия 632-ПП, когда шлагбаумы не устанавливаются;</w:t>
      </w:r>
    </w:p>
    <w:p>
      <w:pPr>
        <w:pStyle w:val="BodyText"/>
      </w:pPr>
      <w:r>
        <w:t xml:space="preserve">- недостаточность информационной работы с населением префектурами административных округов и управами районов, которую необходимо дополнительно провести.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http://sevorehovo-borisovo.mos.ru/city-parking/paid-city-parking-on-the-street/news/detail/3051181.html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3051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city-parking/paid-city-parking-on-the-street/news/detail/3051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2024-06-27T16:21:37Z</dcterms:created>
  <dcterms:modified xsi:type="dcterms:W3CDTF">2024-06-27T16:21:37Z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