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информация-о-взыскании-задолженности"/>
    <w:p>
      <w:pPr>
        <w:pStyle w:val="Heading3"/>
      </w:pPr>
      <w:r>
        <w:t xml:space="preserve">Информация о взыскании задолженности!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bCs/>
          <w:b/>
        </w:rP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http://mos-sud.ru/ms/246/</w:t>
        </w:r>
      </w:hyperlink>
      <w:r>
        <w:t xml:space="preserve"> </w:t>
      </w:r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http://mos-sud.ru/ms/247/</w:t>
        </w:r>
      </w:hyperlink>
      <w:r>
        <w:t xml:space="preserve"> </w:t>
      </w:r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http://mos-sud.ru/ms/248/</w:t>
        </w:r>
      </w:hyperlink>
      <w:r>
        <w:t xml:space="preserve">).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5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6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http://sevorehovo-borisovo.mos.ru/housing-and-communal-services-landscaping-and-construction/detail/10869466.html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869466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869466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2024-08-14T01:17:23Z</dcterms:created>
  <dcterms:modified xsi:type="dcterms:W3CDTF">2024-08-14T01:17:23Z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