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cde1debc980f61d91929d000be03478a7b770"/>
    <w:p>
      <w:pPr>
        <w:pStyle w:val="Heading3"/>
      </w:pPr>
      <w:r>
        <w:t xml:space="preserve">Видеосюжет об ответственности за преступления экстремистской направленности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Видеосюжет, отражающий сведения об ответственности за преступления экстремистской направленности, предусмотренной законодательством Российской Федерации, подготовлен специалистами Многофункционального миграционного центра Пермского края – подведомственной организацией Министерства территориальной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http://sevorehovo-borisovo.mos.ru/the-commission-on-affairs-of-minors-and-protection-of-their-rights/about-the-commission/detail/12727250.html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727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727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2025-02-24T04:15:22Z</dcterms:created>
  <dcterms:modified xsi:type="dcterms:W3CDTF">2025-02-24T04:15:22Z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