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83e44cc99e18b714db1c4b153a06d70cd5da0"/>
    <w:p>
      <w:pPr>
        <w:pStyle w:val="Heading3"/>
      </w:pPr>
      <w:r>
        <w:t xml:space="preserve">План мероприятий на 1 квартал 2025 ГБУ ДСЦ Мир Молодых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План мероприятий на 1 квартал 2025 ГБУ ДСЦ Мир Молодых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http://sevorehovo-borisovo.mos.ru/the-commission-on-affairs-of-minors-and-protection-of-their-rights/about-the-commission/detail/12744499.html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2e5/h65okj2a9d498j4dww6qkhnpcvilp865/Grafik-meropriyatiy.pdf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744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2e5/h65okj2a9d498j4dww6qkhnpcvilp865/Grafik-meropriyatiy.pdf" TargetMode="Externa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744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2025-02-20T01:55:41Z</dcterms:created>
  <dcterms:modified xsi:type="dcterms:W3CDTF">2025-02-20T01:55:41Z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