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0952eecf3624564f10705de7cfcb6fef00783"/>
    <w:p>
      <w:pPr>
        <w:pStyle w:val="Heading3"/>
      </w:pPr>
      <w:r>
        <w:t xml:space="preserve">Как обеспечить безопасность детей в интернете?</w:t>
      </w:r>
    </w:p>
    <w:p>
      <w:pPr>
        <w:pStyle w:val="FirstParagraph"/>
      </w:pPr>
      <w:r>
        <w:t xml:space="preserve">27.02.2025</w:t>
      </w:r>
    </w:p>
    <w:p>
      <w:pPr>
        <w:pStyle w:val="BodyText"/>
      </w:pPr>
      <w:r>
        <w:t xml:space="preserve">ГУ МВД России по городу Москве подготовили памятки для родителей по предупреждению вовлечения несовершеннолетних в преступную деятельность с использованием информационно-коммуникационных технологий. Предлагаем ознакомиться и провести с детьми профилактические беседы!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http://sevorehovo-borisovo.mos.ru/the-commission-on-affairs-of-minors-and-protection-of-their-rights/about-the-commission/detail/12830575.html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28305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commission-on-affairs-of-minors-and-protection-of-their-rights/about-the-commission/detail/128305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2025-02-27T20:07:32Z</dcterms:created>
  <dcterms:modified xsi:type="dcterms:W3CDTF">2025-02-27T20:07:32Z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