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bdc48b4b767d4b7fc2ca7a13bae5eaf4f6e44"/>
    <w:p>
      <w:pPr>
        <w:pStyle w:val="Heading3"/>
      </w:pPr>
      <w:r>
        <w:t xml:space="preserve">Минобороны сообщило о завершении весеннего призыва в России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t xml:space="preserve">В России завершен весенний призыв, в армию отправились и наши ребята.</w:t>
      </w:r>
    </w:p>
    <w:p>
      <w:pPr>
        <w:pStyle w:val="BodyText"/>
      </w:pPr>
      <w:r>
        <w:t xml:space="preserve">Весенний призыв начался 1 апреля. Отправка призывников со сборных пунктов началась 20 апреля. Военнослужащие прошлых призывов, срок службы которых уже завершился, своевременно уволены и направлены к местам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http://sevorehovo-borisovo.mos.ru/the-military-informs/detail/11728325.html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11728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11728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2025-02-21T18:58:17Z</dcterms:created>
  <dcterms:modified xsi:type="dcterms:W3CDTF">2025-02-21T18:58:17Z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