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вакцинация-животных-против-бешенства"/>
    <w:p>
      <w:pPr>
        <w:pStyle w:val="Heading3"/>
      </w:pPr>
      <w:r>
        <w:t xml:space="preserve">Вакцинация животных против бешенства</w:t>
      </w:r>
    </w:p>
    <w:p>
      <w:pPr>
        <w:pStyle w:val="FirstParagraph"/>
      </w:pPr>
      <w:r>
        <w:t xml:space="preserve">28.10.2022</w:t>
      </w:r>
    </w:p>
    <w:p>
      <w:pPr>
        <w:pStyle w:val="BodyText"/>
      </w:pPr>
      <w:r>
        <w:drawing>
          <wp:inline>
            <wp:extent cx="5334000" cy="513154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d84/e71w1tpl2j88to9whg7yonehlwc38uz0/2022_10_28_13_34_10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315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http://sevorehovo-borisovo.mos.ru/the-state-veterinary-service/detail/11164536.html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the-state-veterinary-service/detail/111645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the-state-veterinary-service/detail/111645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2023-10-07T05:51:51Z</dcterms:created>
  <dcterms:modified xsi:type="dcterms:W3CDTF">2023-10-07T05:51:51Z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