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0d6982d9bf42122b9f01d4b99737434f451702"/>
    <w:p>
      <w:pPr>
        <w:pStyle w:val="Heading3"/>
      </w:pPr>
      <w:r>
        <w:t xml:space="preserve">План-график вакцинации против бешенства собак и кошек на прививочных пунктах в ЮАО г. Москвы в 2024 году</w:t>
      </w:r>
    </w:p>
    <w:p>
      <w:pPr>
        <w:pStyle w:val="FirstParagraph"/>
      </w:pPr>
      <w:r>
        <w:t xml:space="preserve">30.11.2023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de9/8o3webtguyapv2l6vaqeo5v060txezr3/Dokument-Microsoft-Word-_3_page_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http://sevorehovo-borisovo.mos.ru/the-state-veterinary-service/detail/12016419.html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the-state-veterinary-service/detail/120164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the-state-veterinary-service/detail/120164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2025-03-01T05:12:38Z</dcterms:created>
  <dcterms:modified xsi:type="dcterms:W3CDTF">2025-03-01T05:12:38Z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