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e51a81fee86253bba0ebf6ef489908e1407ac"/>
    <w:p>
      <w:pPr>
        <w:pStyle w:val="Heading3"/>
      </w:pPr>
      <w:r>
        <w:t xml:space="preserve">Ветеринарные специалисты не проводят обходов квартир для вакцинации от бешенства животных</w:t>
      </w:r>
    </w:p>
    <w:p>
      <w:pPr>
        <w:pStyle w:val="FirstParagraph"/>
      </w:pPr>
      <w:r>
        <w:t xml:space="preserve">18.03.2025</w:t>
      </w:r>
    </w:p>
    <w:p>
      <w:pPr>
        <w:pStyle w:val="BodyText"/>
      </w:pPr>
      <w:r>
        <w:t xml:space="preserve">Ветеринарные специалисты не проводят обходов квартир для вакцинации от бешенства животных. Бесплатная вакцинация проводится в государственных ветеринарных лечебницах или временных прививочных пунктах Вызвать ветеринарного врача на дом владельцы животных могут только по индивидуальным заявкам, по номеру + 7 495 612 12 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http://sevorehovo-borisovo.mos.ru/the-state-veterinary-service/detail/12863647.html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state-veterinary-service/detail/128636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the-state-veterinary-service/detail/128636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2025-03-19T10:58:51Z</dcterms:created>
  <dcterms:modified xsi:type="dcterms:W3CDTF">2025-03-19T10:58:51Z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